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DocumentFor"/>
      <w:bookmarkEnd w:id="0"/>
      <w:bookmarkStart w:id="1" w:name="Title"/>
      <w:bookmarkEnd w:id="1"/>
      <w:bookmarkStart w:id="2" w:name="OLE_LINK6"/>
      <w:bookmarkStart w:id="3" w:name="OLE_LINK5"/>
      <w:r>
        <w:rPr>
          <w:rFonts w:ascii="Arial" w:hAnsi="Arial" w:cs="Arial"/>
          <w:b/>
          <w:sz w:val="24"/>
          <w:szCs w:val="24"/>
        </w:rPr>
        <w:t>3GPP TSG-RAN WG4 Meeting #</w:t>
      </w:r>
      <w:r>
        <w:t xml:space="preserve"> </w:t>
      </w:r>
      <w:r>
        <w:rPr>
          <w:rFonts w:ascii="Arial" w:hAnsi="Arial" w:cs="Arial"/>
          <w:b/>
          <w:sz w:val="24"/>
          <w:szCs w:val="24"/>
        </w:rPr>
        <w:t>98-</w:t>
      </w:r>
      <w:r>
        <w:rPr>
          <w:rFonts w:hint="eastAsia" w:ascii="Arial" w:hAnsi="Arial" w:eastAsia="宋体" w:cs="Arial"/>
          <w:b/>
          <w:sz w:val="24"/>
          <w:szCs w:val="24"/>
          <w:lang w:val="en-US" w:eastAsia="zh-CN"/>
        </w:rPr>
        <w:t>bis-</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R4-2106924</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Apr. 12-20,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Discussion on handover with PSCell</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8.4.2.2</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3"/>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98-e, the following topic has been discussed. Companies</w:t>
      </w:r>
      <w:r>
        <w:rPr>
          <w:rFonts w:hint="default" w:eastAsia="宋体"/>
          <w:sz w:val="22"/>
          <w:szCs w:val="22"/>
          <w:lang w:val="en-US" w:eastAsia="zh-CN"/>
        </w:rPr>
        <w:t>’</w:t>
      </w:r>
      <w:r>
        <w:rPr>
          <w:rFonts w:hint="eastAsia" w:eastAsia="宋体"/>
          <w:sz w:val="22"/>
          <w:szCs w:val="22"/>
          <w:lang w:val="en-US" w:eastAsia="zh-CN"/>
        </w:rPr>
        <w:t xml:space="preserve"> views were summarized in WF [1], the content copied below: </w:t>
      </w:r>
    </w:p>
    <w:tbl>
      <w:tblPr>
        <w:tblStyle w:val="21"/>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28"/>
              <w:spacing w:after="200" w:line="276" w:lineRule="auto"/>
              <w:ind w:left="0" w:leftChars="0"/>
              <w:contextualSpacing/>
              <w:jc w:val="both"/>
            </w:pPr>
            <w:r>
              <w:drawing>
                <wp:inline distT="0" distB="0" distL="114300" distR="114300">
                  <wp:extent cx="6108065" cy="3408680"/>
                  <wp:effectExtent l="0" t="0" r="6985" b="127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4"/>
                          <a:stretch>
                            <a:fillRect/>
                          </a:stretch>
                        </pic:blipFill>
                        <pic:spPr>
                          <a:xfrm>
                            <a:off x="0" y="0"/>
                            <a:ext cx="6108065" cy="3408680"/>
                          </a:xfrm>
                          <a:prstGeom prst="rect">
                            <a:avLst/>
                          </a:prstGeom>
                          <a:noFill/>
                          <a:ln>
                            <a:noFill/>
                          </a:ln>
                        </pic:spPr>
                      </pic:pic>
                    </a:graphicData>
                  </a:graphic>
                </wp:inline>
              </w:drawing>
            </w:r>
          </w:p>
          <w:p>
            <w:pPr>
              <w:pStyle w:val="28"/>
              <w:spacing w:after="200" w:line="276" w:lineRule="auto"/>
              <w:ind w:left="0" w:leftChars="0"/>
              <w:contextualSpacing/>
              <w:jc w:val="both"/>
              <w:rPr>
                <w:rFonts w:hint="eastAsia"/>
                <w:lang w:val="en-US" w:eastAsia="zh-CN"/>
              </w:rPr>
            </w:pPr>
            <w:r>
              <w:drawing>
                <wp:inline distT="0" distB="0" distL="114300" distR="114300">
                  <wp:extent cx="6109335" cy="1396365"/>
                  <wp:effectExtent l="0" t="0" r="5715" b="13335"/>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5"/>
                          <a:stretch>
                            <a:fillRect/>
                          </a:stretch>
                        </pic:blipFill>
                        <pic:spPr>
                          <a:xfrm>
                            <a:off x="0" y="0"/>
                            <a:ext cx="6109335" cy="1396365"/>
                          </a:xfrm>
                          <a:prstGeom prst="rect">
                            <a:avLst/>
                          </a:prstGeom>
                          <a:noFill/>
                          <a:ln>
                            <a:noFill/>
                          </a:ln>
                        </pic:spPr>
                      </pic:pic>
                    </a:graphicData>
                  </a:graphic>
                </wp:inline>
              </w:drawing>
            </w:r>
          </w:p>
        </w:tc>
      </w:tr>
    </w:tbl>
    <w:p>
      <w:pPr>
        <w:pStyle w:val="38"/>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open issue listed above in the WF and provide our view.</w:t>
      </w:r>
    </w:p>
    <w:p>
      <w:pPr>
        <w:pStyle w:val="30"/>
        <w:jc w:val="both"/>
        <w:rPr>
          <w:rFonts w:hint="default" w:eastAsia="宋体"/>
          <w:lang w:val="en-US" w:eastAsia="zh-CN"/>
        </w:rPr>
      </w:pPr>
      <w:r>
        <w:t>2</w:t>
      </w:r>
      <w:r>
        <w:tab/>
      </w:r>
      <w:r>
        <w:rPr>
          <w:rFonts w:hint="eastAsia"/>
          <w:lang w:val="en-US" w:eastAsia="zh-CN"/>
        </w:rPr>
        <w:t>Discussion</w:t>
      </w:r>
    </w:p>
    <w:p>
      <w:pPr>
        <w:rPr>
          <w:rFonts w:hint="eastAsia" w:eastAsia="宋体"/>
          <w:sz w:val="22"/>
          <w:szCs w:val="22"/>
          <w:lang w:val="en-US" w:eastAsia="zh-CN"/>
        </w:rPr>
      </w:pPr>
      <w:r>
        <w:rPr>
          <w:rFonts w:hint="eastAsia" w:eastAsia="宋体"/>
          <w:sz w:val="22"/>
          <w:szCs w:val="22"/>
          <w:lang w:val="en-US" w:eastAsia="zh-CN"/>
        </w:rPr>
        <w:t>As pointed out in the WID, the procedures for handover with PSCell are already supported by RAN2 and captured in RAN2 specification TS 37.340 [2]. As captured in TS 37.340, the procedure for handover with PSCell change is depicted below.</w:t>
      </w:r>
    </w:p>
    <w:p>
      <w:pPr>
        <w:rPr>
          <w:rFonts w:hint="default" w:eastAsia="宋体"/>
          <w:sz w:val="22"/>
          <w:szCs w:val="22"/>
          <w:lang w:val="en-US" w:eastAsia="zh-CN"/>
        </w:rPr>
      </w:pPr>
      <w:r>
        <w:object>
          <v:shape id="_x0000_i1025" o:spt="75" type="#_x0000_t75" style="height:327.75pt;width:481.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rPr>
          <w:rFonts w:hint="default" w:eastAsia="宋体"/>
          <w:sz w:val="22"/>
          <w:szCs w:val="22"/>
          <w:lang w:val="en-US" w:eastAsia="zh-CN"/>
        </w:rPr>
      </w:pPr>
    </w:p>
    <w:p>
      <w:pPr>
        <w:rPr>
          <w:rFonts w:hint="eastAsia" w:eastAsia="宋体"/>
          <w:sz w:val="22"/>
          <w:szCs w:val="22"/>
          <w:lang w:val="en-US" w:eastAsia="zh-CN"/>
        </w:rPr>
      </w:pPr>
      <w:r>
        <w:object>
          <v:shape id="_x0000_i1027" o:spt="75" type="#_x0000_t75" style="height:261.75pt;width:429.75pt;" o:ole="t" filled="f" o:preferrelative="t" stroked="f" coordsize="21600,21600">
            <v:path/>
            <v:fill on="f" focussize="0,0"/>
            <v:stroke on="f" joinstyle="miter"/>
            <v:imagedata r:id="rId8" o:title=""/>
            <o:lock v:ext="edit" aspectratio="t"/>
            <w10:wrap type="none"/>
            <w10:anchorlock/>
          </v:shape>
          <o:OLEObject Type="Embed" ProgID="Visio.Drawing.11" ShapeID="_x0000_i1027" DrawAspect="Content" ObjectID="_1468075726">
            <o:LockedField>false</o:LockedField>
          </o:OLEObject>
        </w:object>
      </w:r>
    </w:p>
    <w:p>
      <w:pPr>
        <w:rPr>
          <w:rFonts w:hint="default" w:eastAsia="宋体"/>
          <w:sz w:val="22"/>
          <w:szCs w:val="22"/>
          <w:lang w:val="en-US" w:eastAsia="zh-CN"/>
        </w:rPr>
      </w:pPr>
      <w:r>
        <w:rPr>
          <w:rFonts w:hint="eastAsia" w:eastAsia="宋体"/>
          <w:sz w:val="22"/>
          <w:szCs w:val="22"/>
          <w:lang w:val="en-US" w:eastAsia="zh-CN"/>
        </w:rPr>
        <w:t>During the handover, the master node is changed and a secondary node (the PSCell) can be added. The procedure is similar to handover plus PSCell addition followed right after.</w:t>
      </w:r>
    </w:p>
    <w:p>
      <w:pPr>
        <w:rPr>
          <w:rFonts w:hint="eastAsia" w:eastAsia="宋体"/>
          <w:sz w:val="22"/>
          <w:szCs w:val="22"/>
          <w:lang w:val="en-US" w:eastAsia="zh-CN"/>
        </w:rPr>
      </w:pPr>
      <w:r>
        <w:rPr>
          <w:rFonts w:hint="eastAsia" w:eastAsia="宋体"/>
          <w:b/>
          <w:bCs/>
          <w:sz w:val="22"/>
          <w:szCs w:val="22"/>
          <w:lang w:val="en-US" w:eastAsia="zh-CN"/>
        </w:rPr>
        <w:t>Observation 1:</w:t>
      </w:r>
      <w:r>
        <w:rPr>
          <w:rFonts w:hint="eastAsia" w:eastAsia="宋体"/>
          <w:sz w:val="22"/>
          <w:szCs w:val="22"/>
          <w:lang w:val="en-US" w:eastAsia="zh-CN"/>
        </w:rPr>
        <w:t xml:space="preserve"> Procedures for handover with PSCell addition is similar to handover followed by PSCell addition immediately after.</w:t>
      </w:r>
    </w:p>
    <w:p>
      <w:pPr>
        <w:rPr>
          <w:rFonts w:hint="eastAsia" w:eastAsia="宋体"/>
          <w:sz w:val="22"/>
          <w:szCs w:val="22"/>
          <w:lang w:val="en-US" w:eastAsia="zh-CN"/>
        </w:rPr>
      </w:pPr>
      <w:r>
        <w:rPr>
          <w:rFonts w:hint="eastAsia" w:eastAsia="宋体"/>
          <w:sz w:val="22"/>
          <w:szCs w:val="22"/>
          <w:lang w:val="en-US" w:eastAsia="zh-CN"/>
        </w:rPr>
        <w:t>The mission for RAN4 within this WI is to specify related requirements (core requirement). We think the reasonable approach is to take core requirements for handover and PSCell addition as baseline and identify if there is any new issue in the new procedure.</w:t>
      </w:r>
    </w:p>
    <w:p>
      <w:pPr>
        <w:rPr>
          <w:rFonts w:hint="default" w:eastAsia="宋体"/>
          <w:sz w:val="22"/>
          <w:szCs w:val="22"/>
          <w:lang w:val="en-US" w:eastAsia="zh-CN"/>
        </w:rPr>
      </w:pPr>
      <w:r>
        <w:rPr>
          <w:rFonts w:hint="eastAsia" w:eastAsia="宋体"/>
          <w:sz w:val="22"/>
          <w:szCs w:val="22"/>
          <w:lang w:val="en-US" w:eastAsia="zh-CN"/>
        </w:rPr>
        <w:t xml:space="preserve">Thus, for the starting point of the delay, we support to </w:t>
      </w:r>
      <w:r>
        <w:rPr>
          <w:rFonts w:hint="default" w:eastAsia="宋体"/>
          <w:sz w:val="22"/>
          <w:szCs w:val="22"/>
          <w:lang w:val="en-US" w:eastAsia="zh-CN"/>
        </w:rPr>
        <w:t>reuse the starting point definition from legacy HO, i.e., the end of the last TTI containing the RRC command implying handover with PSCell.</w:t>
      </w:r>
    </w:p>
    <w:p>
      <w:pPr>
        <w:pStyle w:val="38"/>
        <w:rPr>
          <w:rFonts w:hint="default" w:eastAsia="宋体"/>
          <w:sz w:val="22"/>
          <w:szCs w:val="22"/>
          <w:lang w:val="en-US" w:eastAsia="zh-CN"/>
        </w:rPr>
      </w:pPr>
      <w:r>
        <w:rPr>
          <w:rFonts w:hint="eastAsia" w:eastAsia="宋体"/>
          <w:sz w:val="22"/>
          <w:szCs w:val="22"/>
          <w:lang w:val="en-US" w:eastAsia="zh-CN"/>
        </w:rPr>
        <w:t xml:space="preserve">For the starting point of the delay, </w:t>
      </w:r>
      <w:r>
        <w:rPr>
          <w:rFonts w:hint="default" w:eastAsia="宋体"/>
          <w:sz w:val="22"/>
          <w:szCs w:val="22"/>
          <w:lang w:val="en-US" w:eastAsia="zh-CN"/>
        </w:rPr>
        <w:t>reuse the starting point definition from legacy HO, i.e., the end of the last TTI containing the RRC command implying handover with PSCell.</w:t>
      </w:r>
    </w:p>
    <w:p>
      <w:pPr>
        <w:pStyle w:val="38"/>
        <w:rPr>
          <w:rFonts w:hint="default" w:eastAsia="宋体"/>
          <w:sz w:val="22"/>
          <w:szCs w:val="22"/>
          <w:lang w:val="en-US" w:eastAsia="zh-CN"/>
        </w:rPr>
      </w:pPr>
      <w:r>
        <w:rPr>
          <w:rFonts w:hint="eastAsia" w:eastAsia="宋体"/>
          <w:sz w:val="22"/>
          <w:szCs w:val="22"/>
          <w:lang w:val="en-US" w:eastAsia="zh-CN"/>
        </w:rPr>
        <w:t>For interruption requirements, consider the following options:</w:t>
      </w:r>
    </w:p>
    <w:p>
      <w:pPr>
        <w:pStyle w:val="38"/>
        <w:numPr>
          <w:ilvl w:val="0"/>
          <w:numId w:val="0"/>
        </w:numPr>
        <w:ind w:leftChars="0"/>
        <w:rPr>
          <w:rFonts w:hint="eastAsia" w:eastAsia="宋体"/>
          <w:sz w:val="22"/>
          <w:szCs w:val="22"/>
          <w:lang w:val="en-US" w:eastAsia="zh-CN"/>
        </w:rPr>
      </w:pPr>
      <w:r>
        <w:rPr>
          <w:rFonts w:hint="eastAsia" w:eastAsia="宋体"/>
          <w:sz w:val="22"/>
          <w:szCs w:val="22"/>
          <w:lang w:val="en-US" w:eastAsia="zh-CN"/>
        </w:rPr>
        <w:t>- Specify a total interruption for handover and PSCell addition</w:t>
      </w:r>
    </w:p>
    <w:p>
      <w:pPr>
        <w:pStyle w:val="38"/>
        <w:numPr>
          <w:ilvl w:val="0"/>
          <w:numId w:val="0"/>
        </w:numPr>
        <w:ind w:leftChars="0"/>
        <w:rPr>
          <w:rFonts w:hint="default" w:eastAsia="宋体"/>
          <w:sz w:val="22"/>
          <w:szCs w:val="22"/>
          <w:lang w:val="en-US" w:eastAsia="zh-CN"/>
        </w:rPr>
      </w:pPr>
      <w:r>
        <w:rPr>
          <w:rFonts w:hint="eastAsia" w:eastAsia="宋体"/>
          <w:sz w:val="22"/>
          <w:szCs w:val="22"/>
          <w:lang w:val="en-US" w:eastAsia="zh-CN"/>
        </w:rPr>
        <w:t>- Specify separate interruptions for handover and PSCell addition.</w:t>
      </w:r>
    </w:p>
    <w:p>
      <w:pPr>
        <w:rPr>
          <w:rFonts w:hint="eastAsia" w:eastAsia="宋体"/>
          <w:sz w:val="22"/>
          <w:szCs w:val="22"/>
          <w:lang w:val="en-US" w:eastAsia="zh-CN"/>
        </w:rPr>
      </w:pPr>
      <w:r>
        <w:rPr>
          <w:rFonts w:hint="eastAsia" w:eastAsia="宋体"/>
          <w:sz w:val="22"/>
          <w:szCs w:val="22"/>
          <w:lang w:val="en-US" w:eastAsia="zh-CN"/>
        </w:rPr>
        <w:t>When specifying requirements, we need to align with the current specification and the same applicability rule in TS 38.133 [3] shall apply. The current rule is copied below.</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keepNext/>
              <w:keepLines/>
              <w:spacing w:before="120"/>
              <w:ind w:left="1134" w:hanging="1134"/>
              <w:outlineLvl w:val="2"/>
              <w:rPr>
                <w:rFonts w:ascii="Arial" w:hAnsi="Arial"/>
                <w:sz w:val="28"/>
              </w:rPr>
            </w:pPr>
            <w:r>
              <w:rPr>
                <w:rFonts w:hint="eastAsia" w:ascii="Arial" w:hAnsi="Arial" w:eastAsia="宋体"/>
                <w:sz w:val="28"/>
                <w:lang w:val="en-US" w:eastAsia="zh-CN"/>
              </w:rPr>
              <w:t xml:space="preserve">3.6.8   </w:t>
            </w:r>
            <w:r>
              <w:rPr>
                <w:rFonts w:ascii="Arial" w:hAnsi="Arial"/>
                <w:sz w:val="28"/>
              </w:rPr>
              <w:t xml:space="preserve">Applicability of 2-step RA and 4-step RA in RRM requirements </w:t>
            </w:r>
          </w:p>
          <w:p>
            <w:r>
              <w:t>Unless explicitly stated otherwise the requirements under the following clauses, where the UE transmits random acess to NR serving cell or NR target cell, are applicable for both 2-step RA and 4-step RA procedures [3]:</w:t>
            </w:r>
          </w:p>
          <w:p>
            <w:pPr>
              <w:pStyle w:val="68"/>
            </w:pPr>
            <w:r>
              <w:t>-</w:t>
            </w:r>
            <w:r>
              <w:tab/>
            </w:r>
            <w:r>
              <w:t xml:space="preserve">Handover requirements in clause 6.1, except for clause 6.1.2 </w:t>
            </w:r>
          </w:p>
          <w:p>
            <w:pPr>
              <w:pStyle w:val="68"/>
            </w:pPr>
            <w:r>
              <w:t>-</w:t>
            </w:r>
            <w:r>
              <w:tab/>
            </w:r>
            <w:r>
              <w:t xml:space="preserve">RRC connection mobility control requirements in clause 6.2, except for clause 6.2.2, </w:t>
            </w:r>
          </w:p>
          <w:p>
            <w:pPr>
              <w:pStyle w:val="68"/>
            </w:pPr>
            <w:r>
              <w:t>-</w:t>
            </w:r>
            <w:r>
              <w:tab/>
            </w:r>
            <w:r>
              <w:t>UE transmit timing requirements in clause 7.1,</w:t>
            </w:r>
          </w:p>
          <w:p>
            <w:pPr>
              <w:pStyle w:val="68"/>
            </w:pPr>
            <w:r>
              <w:t>-</w:t>
            </w:r>
            <w:r>
              <w:tab/>
            </w:r>
            <w:r>
              <w:t xml:space="preserve">PScell addition delay requirements in clause 8.9.2, </w:t>
            </w:r>
          </w:p>
          <w:p>
            <w:pPr>
              <w:pStyle w:val="68"/>
            </w:pPr>
            <w:r>
              <w:t>-</w:t>
            </w:r>
            <w:r>
              <w:tab/>
            </w:r>
            <w:r>
              <w:t>PSCell change requirements in clause 8.11 and</w:t>
            </w:r>
          </w:p>
          <w:p>
            <w:pPr>
              <w:pStyle w:val="68"/>
              <w:rPr>
                <w:rFonts w:hint="eastAsia" w:eastAsia="宋体"/>
                <w:sz w:val="22"/>
                <w:szCs w:val="22"/>
                <w:vertAlign w:val="baseline"/>
                <w:lang w:val="en-US" w:eastAsia="zh-CN"/>
              </w:rPr>
            </w:pPr>
            <w:r>
              <w:t>-</w:t>
            </w:r>
            <w:r>
              <w:tab/>
            </w:r>
            <w:r>
              <w:t>Conditional PSCell change requirements in clause 8.11B.</w:t>
            </w:r>
          </w:p>
        </w:tc>
      </w:tr>
    </w:tbl>
    <w:p>
      <w:pPr>
        <w:rPr>
          <w:rFonts w:hint="eastAsia" w:eastAsia="宋体"/>
          <w:sz w:val="22"/>
          <w:szCs w:val="22"/>
          <w:lang w:val="en-US" w:eastAsia="zh-CN"/>
        </w:rPr>
      </w:pPr>
      <w:r>
        <w:rPr>
          <w:rFonts w:hint="eastAsia" w:eastAsia="宋体"/>
          <w:sz w:val="22"/>
          <w:szCs w:val="22"/>
          <w:lang w:val="en-US" w:eastAsia="zh-CN"/>
        </w:rPr>
        <w:t>As reflected by the current applicability rule, both 2-step RA and 4-step RA are considered in handover requirements (except for handover to another RAT) and PSCell addition delay requirements. Thus, it</w:t>
      </w:r>
      <w:r>
        <w:rPr>
          <w:rFonts w:hint="default" w:eastAsia="宋体"/>
          <w:sz w:val="22"/>
          <w:szCs w:val="22"/>
          <w:lang w:val="en-US" w:eastAsia="zh-CN"/>
        </w:rPr>
        <w:t>’</w:t>
      </w:r>
      <w:r>
        <w:rPr>
          <w:rFonts w:hint="eastAsia" w:eastAsia="宋体"/>
          <w:sz w:val="22"/>
          <w:szCs w:val="22"/>
          <w:lang w:val="en-US" w:eastAsia="zh-CN"/>
        </w:rPr>
        <w:t>s reasonable to also include both 2-step RA and 4-step RA into the new requirements made for handover with PSCell.</w:t>
      </w:r>
    </w:p>
    <w:p>
      <w:pPr>
        <w:rPr>
          <w:rFonts w:hint="default" w:eastAsia="宋体"/>
          <w:sz w:val="22"/>
          <w:szCs w:val="22"/>
          <w:lang w:val="en-US" w:eastAsia="zh-CN"/>
        </w:rPr>
      </w:pPr>
      <w:r>
        <w:rPr>
          <w:rFonts w:hint="eastAsia" w:eastAsia="宋体"/>
          <w:sz w:val="22"/>
          <w:szCs w:val="22"/>
          <w:lang w:val="en-US" w:eastAsia="zh-CN"/>
        </w:rPr>
        <w:t>Some companies suggested to wait for the reply LS on issue 2-2-3 and then conclude on this, however we don</w:t>
      </w:r>
      <w:r>
        <w:rPr>
          <w:rFonts w:hint="default" w:eastAsia="宋体"/>
          <w:sz w:val="22"/>
          <w:szCs w:val="22"/>
          <w:lang w:val="en-US" w:eastAsia="zh-CN"/>
        </w:rPr>
        <w:t>’</w:t>
      </w:r>
      <w:r>
        <w:rPr>
          <w:rFonts w:hint="eastAsia" w:eastAsia="宋体"/>
          <w:sz w:val="22"/>
          <w:szCs w:val="22"/>
          <w:lang w:val="en-US" w:eastAsia="zh-CN"/>
        </w:rPr>
        <w:t>t think they are relevant issues. Again, we want to repeat our point that 2-step RACH is defined in a generic way and by default it applies to all relevant procedures involving RA.</w:t>
      </w:r>
    </w:p>
    <w:p>
      <w:pPr>
        <w:pStyle w:val="38"/>
        <w:rPr>
          <w:rFonts w:hint="default" w:eastAsia="宋体"/>
          <w:sz w:val="22"/>
          <w:szCs w:val="22"/>
          <w:lang w:val="en-US" w:eastAsia="zh-CN"/>
        </w:rPr>
      </w:pPr>
      <w:r>
        <w:rPr>
          <w:rFonts w:hint="eastAsia" w:eastAsia="宋体"/>
          <w:sz w:val="22"/>
          <w:szCs w:val="22"/>
          <w:lang w:val="en-US" w:eastAsia="zh-CN"/>
        </w:rPr>
        <w:t>Include both 2-step RA and 4-step RA into the new requirements made for handover with PSCell.</w:t>
      </w:r>
    </w:p>
    <w:p>
      <w:pPr>
        <w:pStyle w:val="30"/>
        <w:jc w:val="both"/>
      </w:pPr>
      <w:r>
        <w:rPr>
          <w:rFonts w:hint="eastAsia"/>
          <w:lang w:val="en-US" w:eastAsia="zh-CN"/>
        </w:rPr>
        <w:t>3</w:t>
      </w:r>
      <w:r>
        <w:tab/>
      </w:r>
      <w:r>
        <w:t>Conclusion</w:t>
      </w:r>
    </w:p>
    <w:p>
      <w:pPr>
        <w:rPr>
          <w:rFonts w:hint="eastAsia"/>
          <w:b/>
          <w:bCs w:val="0"/>
          <w:sz w:val="22"/>
          <w:szCs w:val="22"/>
          <w:lang w:val="en-US" w:eastAsia="zh-CN"/>
        </w:rPr>
      </w:pPr>
      <w:r>
        <w:rPr>
          <w:rFonts w:hint="eastAsia" w:eastAsia="宋体"/>
          <w:b/>
          <w:bCs/>
          <w:sz w:val="22"/>
          <w:szCs w:val="22"/>
          <w:lang w:val="en-US" w:eastAsia="zh-CN"/>
        </w:rPr>
        <w:t>Observation 1:</w:t>
      </w:r>
      <w:r>
        <w:rPr>
          <w:rFonts w:hint="eastAsia" w:eastAsia="宋体"/>
          <w:sz w:val="22"/>
          <w:szCs w:val="22"/>
          <w:lang w:val="en-US" w:eastAsia="zh-CN"/>
        </w:rPr>
        <w:t xml:space="preserve"> Procedures for handover with PSCell addition is similar to handover followed by PSCell addition immediately after.</w:t>
      </w:r>
    </w:p>
    <w:p>
      <w:pPr>
        <w:rPr>
          <w:rFonts w:hint="eastAsia"/>
          <w:b/>
          <w:bCs w:val="0"/>
          <w:sz w:val="22"/>
          <w:szCs w:val="22"/>
          <w:lang w:val="en-US" w:eastAsia="zh-CN"/>
        </w:rPr>
      </w:pPr>
      <w:r>
        <w:rPr>
          <w:rFonts w:hint="eastAsia"/>
          <w:b/>
          <w:bCs w:val="0"/>
          <w:sz w:val="22"/>
          <w:szCs w:val="22"/>
          <w:lang w:val="en-US" w:eastAsia="zh-CN"/>
        </w:rPr>
        <w:t xml:space="preserve">Proposal 1: </w:t>
      </w:r>
      <w:r>
        <w:rPr>
          <w:rFonts w:hint="eastAsia" w:eastAsia="宋体"/>
          <w:b/>
          <w:bCs w:val="0"/>
          <w:sz w:val="22"/>
          <w:szCs w:val="22"/>
          <w:lang w:val="en-US" w:eastAsia="zh-CN"/>
        </w:rPr>
        <w:t xml:space="preserve">For the starting point of the delay, </w:t>
      </w:r>
      <w:r>
        <w:rPr>
          <w:rFonts w:hint="default" w:eastAsia="宋体"/>
          <w:b/>
          <w:bCs w:val="0"/>
          <w:sz w:val="22"/>
          <w:szCs w:val="22"/>
          <w:lang w:val="en-US" w:eastAsia="zh-CN"/>
        </w:rPr>
        <w:t>reuse the starting point definition from legacy HO, i.e., the end of the last TTI containing the RRC command implying handover with PSCell.</w:t>
      </w:r>
    </w:p>
    <w:p>
      <w:pPr>
        <w:rPr>
          <w:rFonts w:hint="default" w:eastAsia="宋体"/>
          <w:b/>
          <w:bCs/>
          <w:sz w:val="22"/>
          <w:szCs w:val="22"/>
          <w:lang w:val="en-US" w:eastAsia="zh-CN"/>
        </w:rPr>
      </w:pPr>
      <w:r>
        <w:rPr>
          <w:rFonts w:hint="eastAsia"/>
          <w:b/>
          <w:bCs w:val="0"/>
          <w:sz w:val="22"/>
          <w:szCs w:val="22"/>
          <w:lang w:val="en-US" w:eastAsia="zh-CN"/>
        </w:rPr>
        <w:t xml:space="preserve">Proposal 2: </w:t>
      </w:r>
      <w:r>
        <w:rPr>
          <w:rFonts w:hint="eastAsia" w:eastAsia="宋体"/>
          <w:b/>
          <w:bCs/>
          <w:sz w:val="22"/>
          <w:szCs w:val="22"/>
          <w:lang w:val="en-US" w:eastAsia="zh-CN"/>
        </w:rPr>
        <w:t>For interruption requirements, consider the following options:</w:t>
      </w:r>
    </w:p>
    <w:p>
      <w:pPr>
        <w:pStyle w:val="38"/>
        <w:numPr>
          <w:ilvl w:val="0"/>
          <w:numId w:val="0"/>
        </w:numPr>
        <w:ind w:leftChars="0"/>
        <w:rPr>
          <w:rFonts w:hint="eastAsia" w:eastAsia="宋体"/>
          <w:sz w:val="22"/>
          <w:szCs w:val="22"/>
          <w:lang w:val="en-US" w:eastAsia="zh-CN"/>
        </w:rPr>
      </w:pPr>
      <w:r>
        <w:rPr>
          <w:rFonts w:hint="eastAsia" w:eastAsia="宋体"/>
          <w:sz w:val="22"/>
          <w:szCs w:val="22"/>
          <w:lang w:val="en-US" w:eastAsia="zh-CN"/>
        </w:rPr>
        <w:t>- Specify a total interruption for handover and PSCell addition</w:t>
      </w:r>
    </w:p>
    <w:p>
      <w:pPr>
        <w:pStyle w:val="38"/>
        <w:numPr>
          <w:ilvl w:val="0"/>
          <w:numId w:val="0"/>
        </w:numPr>
        <w:ind w:leftChars="0"/>
        <w:rPr>
          <w:rFonts w:hint="default" w:eastAsia="宋体"/>
          <w:sz w:val="22"/>
          <w:szCs w:val="22"/>
          <w:lang w:val="en-US" w:eastAsia="zh-CN"/>
        </w:rPr>
      </w:pPr>
      <w:r>
        <w:rPr>
          <w:rFonts w:hint="eastAsia" w:eastAsia="宋体"/>
          <w:sz w:val="22"/>
          <w:szCs w:val="22"/>
          <w:lang w:val="en-US" w:eastAsia="zh-CN"/>
        </w:rPr>
        <w:t>- Specify separate interruptions for handover and PSCell addition.</w:t>
      </w:r>
    </w:p>
    <w:p>
      <w:pPr>
        <w:rPr>
          <w:rFonts w:hint="default"/>
          <w:b/>
          <w:bCs w:val="0"/>
          <w:sz w:val="22"/>
          <w:szCs w:val="22"/>
          <w:lang w:val="en-US" w:eastAsia="zh-CN"/>
        </w:rPr>
      </w:pPr>
      <w:r>
        <w:rPr>
          <w:rFonts w:hint="eastAsia"/>
          <w:b/>
          <w:bCs w:val="0"/>
          <w:sz w:val="22"/>
          <w:szCs w:val="22"/>
          <w:lang w:val="en-US" w:eastAsia="zh-CN"/>
        </w:rPr>
        <w:t xml:space="preserve">Proposal 3: </w:t>
      </w:r>
      <w:r>
        <w:rPr>
          <w:rFonts w:hint="eastAsia" w:eastAsia="宋体"/>
          <w:b/>
          <w:bCs/>
          <w:sz w:val="22"/>
          <w:szCs w:val="22"/>
          <w:lang w:val="en-US" w:eastAsia="zh-CN"/>
        </w:rPr>
        <w:t>Include both 2-step RA and 4-step RA into the new requirements made for handover with PSCell.</w:t>
      </w:r>
    </w:p>
    <w:p>
      <w:pPr>
        <w:pStyle w:val="30"/>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R4-2103673</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2"/>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8"/>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4"/>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6552"/>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B274E2"/>
    <w:rsid w:val="02BD7990"/>
    <w:rsid w:val="02C25D33"/>
    <w:rsid w:val="030809EC"/>
    <w:rsid w:val="039A1BDA"/>
    <w:rsid w:val="03AE4991"/>
    <w:rsid w:val="03C6506D"/>
    <w:rsid w:val="03F37217"/>
    <w:rsid w:val="042903F2"/>
    <w:rsid w:val="047B40B2"/>
    <w:rsid w:val="04C77D0A"/>
    <w:rsid w:val="04D5204C"/>
    <w:rsid w:val="051F0641"/>
    <w:rsid w:val="059B61E4"/>
    <w:rsid w:val="05A86143"/>
    <w:rsid w:val="05D42FA6"/>
    <w:rsid w:val="06105DAC"/>
    <w:rsid w:val="066957D5"/>
    <w:rsid w:val="068A29F7"/>
    <w:rsid w:val="069766CC"/>
    <w:rsid w:val="06C76332"/>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7322DC"/>
    <w:rsid w:val="0BB77882"/>
    <w:rsid w:val="0BD849A5"/>
    <w:rsid w:val="0C0F2D47"/>
    <w:rsid w:val="0C2A1653"/>
    <w:rsid w:val="0C3C5307"/>
    <w:rsid w:val="0C56263C"/>
    <w:rsid w:val="0C5E2B8A"/>
    <w:rsid w:val="0D102274"/>
    <w:rsid w:val="0DA958CA"/>
    <w:rsid w:val="0DF104D3"/>
    <w:rsid w:val="0E1C586B"/>
    <w:rsid w:val="0E8A024B"/>
    <w:rsid w:val="0E9006B5"/>
    <w:rsid w:val="0ED138E6"/>
    <w:rsid w:val="0F130B06"/>
    <w:rsid w:val="0F67780F"/>
    <w:rsid w:val="0F8F3C2A"/>
    <w:rsid w:val="0FB648CB"/>
    <w:rsid w:val="0FD0731A"/>
    <w:rsid w:val="0FF1533A"/>
    <w:rsid w:val="0FF72A44"/>
    <w:rsid w:val="0FFE0AFA"/>
    <w:rsid w:val="1000683B"/>
    <w:rsid w:val="10462691"/>
    <w:rsid w:val="10732202"/>
    <w:rsid w:val="10860ED5"/>
    <w:rsid w:val="10AA3C13"/>
    <w:rsid w:val="10CA41CF"/>
    <w:rsid w:val="10CD0B75"/>
    <w:rsid w:val="10D743A1"/>
    <w:rsid w:val="110C4D24"/>
    <w:rsid w:val="11283655"/>
    <w:rsid w:val="113B0066"/>
    <w:rsid w:val="11F71F3A"/>
    <w:rsid w:val="122017FC"/>
    <w:rsid w:val="12753179"/>
    <w:rsid w:val="128409CA"/>
    <w:rsid w:val="12BB3A94"/>
    <w:rsid w:val="12EF585C"/>
    <w:rsid w:val="13262572"/>
    <w:rsid w:val="136D11EC"/>
    <w:rsid w:val="137D50D6"/>
    <w:rsid w:val="139B3B65"/>
    <w:rsid w:val="13A62830"/>
    <w:rsid w:val="13D36053"/>
    <w:rsid w:val="13F75352"/>
    <w:rsid w:val="13FA5349"/>
    <w:rsid w:val="140D3F9C"/>
    <w:rsid w:val="141E7377"/>
    <w:rsid w:val="1480544B"/>
    <w:rsid w:val="14A25B1A"/>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07856"/>
    <w:rsid w:val="176F5C05"/>
    <w:rsid w:val="17A076C4"/>
    <w:rsid w:val="17A62BCE"/>
    <w:rsid w:val="17E12498"/>
    <w:rsid w:val="17E826AB"/>
    <w:rsid w:val="18407C50"/>
    <w:rsid w:val="1872258F"/>
    <w:rsid w:val="18D3414F"/>
    <w:rsid w:val="18D91924"/>
    <w:rsid w:val="19831412"/>
    <w:rsid w:val="19A96435"/>
    <w:rsid w:val="19E43A3D"/>
    <w:rsid w:val="1A0B3A21"/>
    <w:rsid w:val="1A352FE3"/>
    <w:rsid w:val="1B3329B5"/>
    <w:rsid w:val="1B595D85"/>
    <w:rsid w:val="1B7F155B"/>
    <w:rsid w:val="1BAE2A00"/>
    <w:rsid w:val="1C5E2F54"/>
    <w:rsid w:val="1CA0799D"/>
    <w:rsid w:val="1CDA242C"/>
    <w:rsid w:val="1CFB2AC1"/>
    <w:rsid w:val="1D1F1294"/>
    <w:rsid w:val="1D85535E"/>
    <w:rsid w:val="1DB41841"/>
    <w:rsid w:val="1DE45821"/>
    <w:rsid w:val="1DF64986"/>
    <w:rsid w:val="1E8806BC"/>
    <w:rsid w:val="1EA137E3"/>
    <w:rsid w:val="1EC97F44"/>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514077"/>
    <w:rsid w:val="23855295"/>
    <w:rsid w:val="23B20773"/>
    <w:rsid w:val="23CF6D67"/>
    <w:rsid w:val="248F188B"/>
    <w:rsid w:val="24BD0518"/>
    <w:rsid w:val="24E3793D"/>
    <w:rsid w:val="24E91488"/>
    <w:rsid w:val="25077EC5"/>
    <w:rsid w:val="256A021C"/>
    <w:rsid w:val="25962669"/>
    <w:rsid w:val="25C20278"/>
    <w:rsid w:val="25C545AD"/>
    <w:rsid w:val="25E74495"/>
    <w:rsid w:val="262D62D9"/>
    <w:rsid w:val="26681CAB"/>
    <w:rsid w:val="267E5FCE"/>
    <w:rsid w:val="27572E0B"/>
    <w:rsid w:val="2762235C"/>
    <w:rsid w:val="276537E8"/>
    <w:rsid w:val="280C272A"/>
    <w:rsid w:val="281B6C69"/>
    <w:rsid w:val="284E33F7"/>
    <w:rsid w:val="28560910"/>
    <w:rsid w:val="28686999"/>
    <w:rsid w:val="287A3770"/>
    <w:rsid w:val="28C759BF"/>
    <w:rsid w:val="290A138C"/>
    <w:rsid w:val="293606FA"/>
    <w:rsid w:val="29517179"/>
    <w:rsid w:val="29E7086A"/>
    <w:rsid w:val="2A1219AD"/>
    <w:rsid w:val="2A394321"/>
    <w:rsid w:val="2AAF72F6"/>
    <w:rsid w:val="2AE26D3F"/>
    <w:rsid w:val="2AF125AB"/>
    <w:rsid w:val="2AF8774D"/>
    <w:rsid w:val="2B0F6E62"/>
    <w:rsid w:val="2B3F4136"/>
    <w:rsid w:val="2B5F7B9D"/>
    <w:rsid w:val="2B6F3DB4"/>
    <w:rsid w:val="2B7579C5"/>
    <w:rsid w:val="2BB04900"/>
    <w:rsid w:val="2C1B2490"/>
    <w:rsid w:val="2C3A3275"/>
    <w:rsid w:val="2C495744"/>
    <w:rsid w:val="2CEE6B8D"/>
    <w:rsid w:val="2D233DAE"/>
    <w:rsid w:val="2D8E403A"/>
    <w:rsid w:val="2DF9626C"/>
    <w:rsid w:val="2E145F76"/>
    <w:rsid w:val="2EA86D09"/>
    <w:rsid w:val="2ECE747D"/>
    <w:rsid w:val="2F32226B"/>
    <w:rsid w:val="2F376D10"/>
    <w:rsid w:val="2FA231C5"/>
    <w:rsid w:val="308B65F2"/>
    <w:rsid w:val="30A9337F"/>
    <w:rsid w:val="30F5782F"/>
    <w:rsid w:val="3117229F"/>
    <w:rsid w:val="31395268"/>
    <w:rsid w:val="316D08AD"/>
    <w:rsid w:val="31A50177"/>
    <w:rsid w:val="31DD775A"/>
    <w:rsid w:val="31ED10C9"/>
    <w:rsid w:val="320F0A18"/>
    <w:rsid w:val="32351CB2"/>
    <w:rsid w:val="324554E5"/>
    <w:rsid w:val="325D2B5A"/>
    <w:rsid w:val="327661FC"/>
    <w:rsid w:val="32B33B5A"/>
    <w:rsid w:val="32B54475"/>
    <w:rsid w:val="32EE27B2"/>
    <w:rsid w:val="33372789"/>
    <w:rsid w:val="333876C2"/>
    <w:rsid w:val="33484A1E"/>
    <w:rsid w:val="335F47E9"/>
    <w:rsid w:val="33FB17D8"/>
    <w:rsid w:val="34095F4A"/>
    <w:rsid w:val="346E4104"/>
    <w:rsid w:val="3476470C"/>
    <w:rsid w:val="34D83C16"/>
    <w:rsid w:val="34F42A3D"/>
    <w:rsid w:val="3509315E"/>
    <w:rsid w:val="351A4CC6"/>
    <w:rsid w:val="37630A6C"/>
    <w:rsid w:val="37705F34"/>
    <w:rsid w:val="377700B0"/>
    <w:rsid w:val="37857872"/>
    <w:rsid w:val="37AF7036"/>
    <w:rsid w:val="380927B5"/>
    <w:rsid w:val="381F0B0E"/>
    <w:rsid w:val="382139EC"/>
    <w:rsid w:val="3876150B"/>
    <w:rsid w:val="38831E00"/>
    <w:rsid w:val="38EF03A6"/>
    <w:rsid w:val="38F0125F"/>
    <w:rsid w:val="3900577A"/>
    <w:rsid w:val="392739EA"/>
    <w:rsid w:val="392D38AD"/>
    <w:rsid w:val="3946679B"/>
    <w:rsid w:val="394D1646"/>
    <w:rsid w:val="399A43EA"/>
    <w:rsid w:val="3A0F1960"/>
    <w:rsid w:val="3A166029"/>
    <w:rsid w:val="3A431070"/>
    <w:rsid w:val="3A6B6F88"/>
    <w:rsid w:val="3AC125B3"/>
    <w:rsid w:val="3AF216E5"/>
    <w:rsid w:val="3B0B15C3"/>
    <w:rsid w:val="3B30671A"/>
    <w:rsid w:val="3B5662AC"/>
    <w:rsid w:val="3B981241"/>
    <w:rsid w:val="3BBB2E68"/>
    <w:rsid w:val="3C2F6338"/>
    <w:rsid w:val="3CC5729E"/>
    <w:rsid w:val="3CCE203C"/>
    <w:rsid w:val="3D087EC6"/>
    <w:rsid w:val="3D0C1655"/>
    <w:rsid w:val="3D4E48C8"/>
    <w:rsid w:val="3D50421B"/>
    <w:rsid w:val="3D77737D"/>
    <w:rsid w:val="3DC04E13"/>
    <w:rsid w:val="3DD244E7"/>
    <w:rsid w:val="3E132617"/>
    <w:rsid w:val="3E1747FA"/>
    <w:rsid w:val="3E5B41D6"/>
    <w:rsid w:val="3E964B98"/>
    <w:rsid w:val="3ECE16FA"/>
    <w:rsid w:val="3F3542FD"/>
    <w:rsid w:val="3F4118C8"/>
    <w:rsid w:val="3F5C676A"/>
    <w:rsid w:val="3FF55768"/>
    <w:rsid w:val="40093B4F"/>
    <w:rsid w:val="40462AC9"/>
    <w:rsid w:val="40566CBF"/>
    <w:rsid w:val="40776BAF"/>
    <w:rsid w:val="407921CE"/>
    <w:rsid w:val="40C04FE0"/>
    <w:rsid w:val="41AA7137"/>
    <w:rsid w:val="41EC58FB"/>
    <w:rsid w:val="41F65297"/>
    <w:rsid w:val="41F931F1"/>
    <w:rsid w:val="4231331F"/>
    <w:rsid w:val="42381A71"/>
    <w:rsid w:val="426B0C9E"/>
    <w:rsid w:val="42841694"/>
    <w:rsid w:val="429266C7"/>
    <w:rsid w:val="42AF1322"/>
    <w:rsid w:val="42B30ACF"/>
    <w:rsid w:val="42E73C10"/>
    <w:rsid w:val="43364422"/>
    <w:rsid w:val="43BC4F26"/>
    <w:rsid w:val="43EE582E"/>
    <w:rsid w:val="43FB3DA4"/>
    <w:rsid w:val="441C4006"/>
    <w:rsid w:val="449E489D"/>
    <w:rsid w:val="44B24294"/>
    <w:rsid w:val="44CF520F"/>
    <w:rsid w:val="44D50483"/>
    <w:rsid w:val="451019FB"/>
    <w:rsid w:val="45361837"/>
    <w:rsid w:val="4543370D"/>
    <w:rsid w:val="455B13AC"/>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75258C"/>
    <w:rsid w:val="49896512"/>
    <w:rsid w:val="4996414B"/>
    <w:rsid w:val="49987D21"/>
    <w:rsid w:val="49AB0658"/>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52C5C"/>
    <w:rsid w:val="4E9105E7"/>
    <w:rsid w:val="4EB053BD"/>
    <w:rsid w:val="4FBC6FAF"/>
    <w:rsid w:val="4FDC68F3"/>
    <w:rsid w:val="4FFF46BE"/>
    <w:rsid w:val="50005DA1"/>
    <w:rsid w:val="5041435B"/>
    <w:rsid w:val="50564CCA"/>
    <w:rsid w:val="505A1CB0"/>
    <w:rsid w:val="5090049B"/>
    <w:rsid w:val="509778C7"/>
    <w:rsid w:val="51773E2A"/>
    <w:rsid w:val="51A40397"/>
    <w:rsid w:val="51C53170"/>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E1009A"/>
    <w:rsid w:val="54F516DC"/>
    <w:rsid w:val="5553143F"/>
    <w:rsid w:val="55B42DC5"/>
    <w:rsid w:val="55C82763"/>
    <w:rsid w:val="55CE50F9"/>
    <w:rsid w:val="561E43E8"/>
    <w:rsid w:val="56243301"/>
    <w:rsid w:val="567B20DA"/>
    <w:rsid w:val="56943FE8"/>
    <w:rsid w:val="56DA5A5F"/>
    <w:rsid w:val="576A4F53"/>
    <w:rsid w:val="577E3F1D"/>
    <w:rsid w:val="57C70008"/>
    <w:rsid w:val="586B2608"/>
    <w:rsid w:val="5879595C"/>
    <w:rsid w:val="588331BE"/>
    <w:rsid w:val="592D7AE2"/>
    <w:rsid w:val="593554F0"/>
    <w:rsid w:val="59F967B7"/>
    <w:rsid w:val="5A194DBF"/>
    <w:rsid w:val="5A3078C5"/>
    <w:rsid w:val="5ADF3A74"/>
    <w:rsid w:val="5AE53367"/>
    <w:rsid w:val="5B0B0083"/>
    <w:rsid w:val="5B1254E6"/>
    <w:rsid w:val="5BC3228B"/>
    <w:rsid w:val="5BFC28DA"/>
    <w:rsid w:val="5C3B1FEA"/>
    <w:rsid w:val="5C6A01BF"/>
    <w:rsid w:val="5CEB6783"/>
    <w:rsid w:val="5D041ECD"/>
    <w:rsid w:val="5D5E1AC8"/>
    <w:rsid w:val="5DEB501B"/>
    <w:rsid w:val="5E051414"/>
    <w:rsid w:val="5E206741"/>
    <w:rsid w:val="5E2D4C21"/>
    <w:rsid w:val="5E820037"/>
    <w:rsid w:val="5EE41E2E"/>
    <w:rsid w:val="5F0F00DA"/>
    <w:rsid w:val="60017F85"/>
    <w:rsid w:val="60032276"/>
    <w:rsid w:val="6045086B"/>
    <w:rsid w:val="60745B63"/>
    <w:rsid w:val="60AC01F6"/>
    <w:rsid w:val="60F64A32"/>
    <w:rsid w:val="61051332"/>
    <w:rsid w:val="62812953"/>
    <w:rsid w:val="62B7743E"/>
    <w:rsid w:val="62B8352F"/>
    <w:rsid w:val="62EF63FA"/>
    <w:rsid w:val="63061571"/>
    <w:rsid w:val="632B39DC"/>
    <w:rsid w:val="64116858"/>
    <w:rsid w:val="64550D9E"/>
    <w:rsid w:val="648D5222"/>
    <w:rsid w:val="64B2258D"/>
    <w:rsid w:val="64E30C9E"/>
    <w:rsid w:val="64E86D2F"/>
    <w:rsid w:val="64EE7BC6"/>
    <w:rsid w:val="657C25FC"/>
    <w:rsid w:val="65997784"/>
    <w:rsid w:val="65A976E6"/>
    <w:rsid w:val="65C64C37"/>
    <w:rsid w:val="65D01190"/>
    <w:rsid w:val="65F777F9"/>
    <w:rsid w:val="66197BB5"/>
    <w:rsid w:val="66AB371C"/>
    <w:rsid w:val="66AE1192"/>
    <w:rsid w:val="66CA69C3"/>
    <w:rsid w:val="6794708A"/>
    <w:rsid w:val="67CE0CE2"/>
    <w:rsid w:val="67DA4215"/>
    <w:rsid w:val="67E42DFA"/>
    <w:rsid w:val="67ED44CB"/>
    <w:rsid w:val="681D58BA"/>
    <w:rsid w:val="68EB3ADC"/>
    <w:rsid w:val="69240005"/>
    <w:rsid w:val="69462386"/>
    <w:rsid w:val="695E51BF"/>
    <w:rsid w:val="69C96ADD"/>
    <w:rsid w:val="69DC5A3B"/>
    <w:rsid w:val="69E50464"/>
    <w:rsid w:val="6A2F06BE"/>
    <w:rsid w:val="6A7016FE"/>
    <w:rsid w:val="6AFC6812"/>
    <w:rsid w:val="6B5E2EC6"/>
    <w:rsid w:val="6B7575DB"/>
    <w:rsid w:val="6C42065A"/>
    <w:rsid w:val="6C6707E2"/>
    <w:rsid w:val="6C6F44FD"/>
    <w:rsid w:val="6C9E7796"/>
    <w:rsid w:val="6CB759F8"/>
    <w:rsid w:val="6CD4731D"/>
    <w:rsid w:val="6D121910"/>
    <w:rsid w:val="6D3205F0"/>
    <w:rsid w:val="6D4C048E"/>
    <w:rsid w:val="6D862B60"/>
    <w:rsid w:val="6DB702B4"/>
    <w:rsid w:val="6E4462CC"/>
    <w:rsid w:val="6E504618"/>
    <w:rsid w:val="6EB20078"/>
    <w:rsid w:val="6F5579D7"/>
    <w:rsid w:val="6F801AF8"/>
    <w:rsid w:val="6F8D5AAE"/>
    <w:rsid w:val="6FFF59CB"/>
    <w:rsid w:val="70160759"/>
    <w:rsid w:val="70200B37"/>
    <w:rsid w:val="7037013D"/>
    <w:rsid w:val="704E4A67"/>
    <w:rsid w:val="70995673"/>
    <w:rsid w:val="70AA0AC2"/>
    <w:rsid w:val="70AA24EA"/>
    <w:rsid w:val="70B97CE8"/>
    <w:rsid w:val="70BE4D9F"/>
    <w:rsid w:val="70D46C56"/>
    <w:rsid w:val="70EA7511"/>
    <w:rsid w:val="71143E21"/>
    <w:rsid w:val="71616F10"/>
    <w:rsid w:val="71C93578"/>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8741A70"/>
    <w:rsid w:val="78E07009"/>
    <w:rsid w:val="793758F2"/>
    <w:rsid w:val="79732654"/>
    <w:rsid w:val="79C0590F"/>
    <w:rsid w:val="7A080BBF"/>
    <w:rsid w:val="7A4F2396"/>
    <w:rsid w:val="7A787ECB"/>
    <w:rsid w:val="7A875FC6"/>
    <w:rsid w:val="7A8B51CB"/>
    <w:rsid w:val="7A984514"/>
    <w:rsid w:val="7AB507FA"/>
    <w:rsid w:val="7AC634CB"/>
    <w:rsid w:val="7ACB482C"/>
    <w:rsid w:val="7AF137EF"/>
    <w:rsid w:val="7B2531D6"/>
    <w:rsid w:val="7B5B11D8"/>
    <w:rsid w:val="7B741F58"/>
    <w:rsid w:val="7C41564D"/>
    <w:rsid w:val="7C8E16C9"/>
    <w:rsid w:val="7CA10AF6"/>
    <w:rsid w:val="7CB561C0"/>
    <w:rsid w:val="7CCC277F"/>
    <w:rsid w:val="7CE3033A"/>
    <w:rsid w:val="7D0A2590"/>
    <w:rsid w:val="7D550752"/>
    <w:rsid w:val="7D6A7A29"/>
    <w:rsid w:val="7DA0035E"/>
    <w:rsid w:val="7DCC5A45"/>
    <w:rsid w:val="7E630B4F"/>
    <w:rsid w:val="7E681387"/>
    <w:rsid w:val="7E8B6D0C"/>
    <w:rsid w:val="7F285EA4"/>
    <w:rsid w:val="7F4B350F"/>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7"/>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6"/>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5"/>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semiHidden/>
    <w:unhideWhenUsed/>
    <w:qFormat/>
    <w:uiPriority w:val="99"/>
    <w:pPr>
      <w:ind w:left="566" w:hanging="283"/>
      <w:contextualSpacing/>
    </w:pPr>
  </w:style>
  <w:style w:type="paragraph" w:styleId="8">
    <w:name w:val="List"/>
    <w:basedOn w:val="1"/>
    <w:qFormat/>
    <w:uiPriority w:val="0"/>
    <w:pPr>
      <w:ind w:left="568" w:hanging="284"/>
    </w:pPr>
  </w:style>
  <w:style w:type="paragraph" w:styleId="9">
    <w:name w:val="caption"/>
    <w:basedOn w:val="1"/>
    <w:next w:val="1"/>
    <w:link w:val="40"/>
    <w:unhideWhenUsed/>
    <w:qFormat/>
    <w:uiPriority w:val="35"/>
    <w:pPr>
      <w:spacing w:after="200" w:line="240" w:lineRule="auto"/>
      <w:jc w:val="center"/>
    </w:pPr>
    <w:rPr>
      <w:rFonts w:ascii="Arial" w:hAnsi="Arial"/>
      <w:i/>
      <w:iCs/>
      <w:sz w:val="18"/>
      <w:szCs w:val="18"/>
    </w:rPr>
  </w:style>
  <w:style w:type="paragraph" w:styleId="10">
    <w:name w:val="annotation text"/>
    <w:basedOn w:val="1"/>
    <w:link w:val="60"/>
    <w:semiHidden/>
    <w:unhideWhenUsed/>
    <w:qFormat/>
    <w:uiPriority w:val="99"/>
    <w:pPr>
      <w:spacing w:line="240" w:lineRule="auto"/>
    </w:pPr>
    <w:rPr>
      <w:szCs w:val="20"/>
    </w:rPr>
  </w:style>
  <w:style w:type="paragraph" w:styleId="11">
    <w:name w:val="Body Text"/>
    <w:basedOn w:val="1"/>
    <w:link w:val="48"/>
    <w:semiHidden/>
    <w:unhideWhenUsed/>
    <w:qFormat/>
    <w:uiPriority w:val="0"/>
    <w:pPr>
      <w:spacing w:after="120" w:line="256" w:lineRule="auto"/>
      <w:jc w:val="both"/>
    </w:pPr>
    <w:rPr>
      <w:rFonts w:ascii="Arial" w:hAnsi="Arial"/>
      <w:sz w:val="22"/>
      <w:lang w:val="da-DK" w:eastAsia="zh-CN"/>
    </w:rPr>
  </w:style>
  <w:style w:type="paragraph" w:styleId="12">
    <w:name w:val="Balloon Text"/>
    <w:basedOn w:val="1"/>
    <w:link w:val="57"/>
    <w:semiHidden/>
    <w:unhideWhenUsed/>
    <w:qFormat/>
    <w:uiPriority w:val="99"/>
    <w:pPr>
      <w:spacing w:after="0" w:line="240" w:lineRule="auto"/>
    </w:pPr>
    <w:rPr>
      <w:rFonts w:ascii="Segoe UI" w:hAnsi="Segoe UI" w:cs="Segoe UI"/>
      <w:sz w:val="18"/>
      <w:szCs w:val="18"/>
    </w:rPr>
  </w:style>
  <w:style w:type="paragraph" w:styleId="13">
    <w:name w:val="header"/>
    <w:basedOn w:val="1"/>
    <w:link w:val="55"/>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List 5"/>
    <w:basedOn w:val="16"/>
    <w:qFormat/>
    <w:uiPriority w:val="0"/>
    <w:pPr>
      <w:ind w:left="1702"/>
    </w:pPr>
  </w:style>
  <w:style w:type="paragraph" w:styleId="16">
    <w:name w:val="List 4"/>
    <w:basedOn w:val="6"/>
    <w:qFormat/>
    <w:uiPriority w:val="0"/>
    <w:pPr>
      <w:ind w:left="1418"/>
    </w:pPr>
  </w:style>
  <w:style w:type="paragraph" w:styleId="17">
    <w:name w:val="table of figures"/>
    <w:basedOn w:val="1"/>
    <w:next w:val="1"/>
    <w:unhideWhenUsed/>
    <w:qFormat/>
    <w:uiPriority w:val="99"/>
    <w:pPr>
      <w:spacing w:after="0"/>
    </w:pPr>
  </w:style>
  <w:style w:type="paragraph" w:styleId="18">
    <w:name w:val="toc 2"/>
    <w:basedOn w:val="1"/>
    <w:next w:val="1"/>
    <w:unhideWhenUsed/>
    <w:qFormat/>
    <w:uiPriority w:val="39"/>
    <w:pPr>
      <w:spacing w:after="100"/>
      <w:ind w:left="200"/>
    </w:pPr>
  </w:style>
  <w:style w:type="paragraph" w:styleId="19">
    <w:name w:val="annotation subject"/>
    <w:basedOn w:val="10"/>
    <w:next w:val="10"/>
    <w:link w:val="61"/>
    <w:semiHidden/>
    <w:unhideWhenUsed/>
    <w:qFormat/>
    <w:uiPriority w:val="99"/>
    <w:rPr>
      <w:b/>
      <w:bCs/>
    </w:rPr>
  </w:style>
  <w:style w:type="table" w:styleId="21">
    <w:name w:val="Table Grid"/>
    <w:basedOn w:val="20"/>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llowedHyperlink"/>
    <w:basedOn w:val="22"/>
    <w:semiHidden/>
    <w:unhideWhenUsed/>
    <w:qFormat/>
    <w:uiPriority w:val="99"/>
    <w:rPr>
      <w:color w:val="954F72" w:themeColor="followedHyperlink"/>
      <w:u w:val="single"/>
      <w14:textFill>
        <w14:solidFill>
          <w14:schemeClr w14:val="folHlink"/>
        </w14:solidFill>
      </w14:textFill>
    </w:rPr>
  </w:style>
  <w:style w:type="character" w:styleId="24">
    <w:name w:val="Hyperlink"/>
    <w:basedOn w:val="22"/>
    <w:unhideWhenUsed/>
    <w:qFormat/>
    <w:uiPriority w:val="99"/>
    <w:rPr>
      <w:color w:val="0563C1" w:themeColor="hyperlink"/>
      <w:u w:val="single"/>
      <w14:textFill>
        <w14:solidFill>
          <w14:schemeClr w14:val="hlink"/>
        </w14:solidFill>
      </w14:textFill>
    </w:rPr>
  </w:style>
  <w:style w:type="character" w:styleId="25">
    <w:name w:val="annotation reference"/>
    <w:basedOn w:val="22"/>
    <w:semiHidden/>
    <w:unhideWhenUsed/>
    <w:qFormat/>
    <w:uiPriority w:val="99"/>
    <w:rPr>
      <w:sz w:val="16"/>
      <w:szCs w:val="16"/>
    </w:rPr>
  </w:style>
  <w:style w:type="character" w:customStyle="1" w:styleId="26">
    <w:name w:val="Heading 2 Char"/>
    <w:basedOn w:val="22"/>
    <w:link w:val="3"/>
    <w:qFormat/>
    <w:uiPriority w:val="0"/>
    <w:rPr>
      <w:rFonts w:ascii="Arial" w:hAnsi="Arial" w:eastAsia="Times New Roman" w:cs="Times New Roman"/>
      <w:sz w:val="32"/>
      <w:szCs w:val="20"/>
      <w:lang w:val="en-GB"/>
    </w:rPr>
  </w:style>
  <w:style w:type="character" w:customStyle="1" w:styleId="27">
    <w:name w:val="Heading 1 Char"/>
    <w:basedOn w:val="22"/>
    <w:link w:val="2"/>
    <w:qFormat/>
    <w:uiPriority w:val="9"/>
    <w:rPr>
      <w:rFonts w:asciiTheme="majorHAnsi" w:hAnsiTheme="majorHAnsi" w:eastAsiaTheme="majorEastAsia" w:cstheme="majorBidi"/>
      <w:color w:val="2F5597" w:themeColor="accent1" w:themeShade="BF"/>
      <w:sz w:val="32"/>
      <w:szCs w:val="32"/>
    </w:rPr>
  </w:style>
  <w:style w:type="paragraph" w:styleId="28">
    <w:name w:val="List Paragraph"/>
    <w:basedOn w:val="1"/>
    <w:link w:val="35"/>
    <w:qFormat/>
    <w:uiPriority w:val="34"/>
    <w:pPr>
      <w:ind w:left="720"/>
      <w:contextualSpacing/>
    </w:pPr>
  </w:style>
  <w:style w:type="paragraph" w:customStyle="1" w:styleId="29">
    <w:name w:val="RAN4 H2"/>
    <w:basedOn w:val="3"/>
    <w:next w:val="1"/>
    <w:link w:val="31"/>
    <w:qFormat/>
    <w:uiPriority w:val="0"/>
    <w:rPr>
      <w:lang w:val="en-US"/>
    </w:rPr>
  </w:style>
  <w:style w:type="paragraph" w:customStyle="1" w:styleId="30">
    <w:name w:val="RAN4 H1"/>
    <w:basedOn w:val="1"/>
    <w:link w:val="3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1">
    <w:name w:val="RAN4 H2 Char"/>
    <w:basedOn w:val="26"/>
    <w:link w:val="29"/>
    <w:qFormat/>
    <w:uiPriority w:val="0"/>
    <w:rPr>
      <w:rFonts w:ascii="Arial" w:hAnsi="Arial" w:eastAsia="Times New Roman" w:cs="Times New Roman"/>
      <w:sz w:val="32"/>
      <w:szCs w:val="20"/>
      <w:lang w:val="en-GB"/>
    </w:rPr>
  </w:style>
  <w:style w:type="paragraph" w:customStyle="1" w:styleId="32">
    <w:name w:val="RAN4 Observation"/>
    <w:basedOn w:val="28"/>
    <w:next w:val="1"/>
    <w:link w:val="36"/>
    <w:qFormat/>
    <w:uiPriority w:val="0"/>
    <w:pPr>
      <w:numPr>
        <w:ilvl w:val="0"/>
        <w:numId w:val="1"/>
      </w:numPr>
    </w:pPr>
    <w:rPr>
      <w:rFonts w:eastAsia="Calibri" w:cs="Times New Roman"/>
      <w:szCs w:val="20"/>
      <w:lang w:val="en-GB"/>
    </w:rPr>
  </w:style>
  <w:style w:type="character" w:customStyle="1" w:styleId="33">
    <w:name w:val="RAN4 H1 Char"/>
    <w:basedOn w:val="22"/>
    <w:link w:val="30"/>
    <w:qFormat/>
    <w:uiPriority w:val="0"/>
    <w:rPr>
      <w:rFonts w:ascii="Arial" w:hAnsi="Arial" w:eastAsia="宋体" w:cs="Times New Roman"/>
      <w:sz w:val="36"/>
      <w:szCs w:val="20"/>
      <w:lang w:val="en-GB"/>
    </w:rPr>
  </w:style>
  <w:style w:type="paragraph" w:customStyle="1" w:styleId="34">
    <w:name w:val="RAN4 Proposal"/>
    <w:basedOn w:val="28"/>
    <w:next w:val="1"/>
    <w:link w:val="37"/>
    <w:qFormat/>
    <w:uiPriority w:val="0"/>
    <w:pPr>
      <w:numPr>
        <w:ilvl w:val="0"/>
        <w:numId w:val="2"/>
      </w:numPr>
      <w:ind w:left="0" w:firstLine="0"/>
    </w:pPr>
    <w:rPr>
      <w:rFonts w:eastAsia="Calibri" w:cs="Times New Roman"/>
      <w:b/>
      <w:szCs w:val="20"/>
      <w:lang w:val="en-GB"/>
    </w:rPr>
  </w:style>
  <w:style w:type="character" w:customStyle="1" w:styleId="35">
    <w:name w:val="List Paragraph Char"/>
    <w:basedOn w:val="22"/>
    <w:link w:val="28"/>
    <w:qFormat/>
    <w:uiPriority w:val="34"/>
  </w:style>
  <w:style w:type="character" w:customStyle="1" w:styleId="36">
    <w:name w:val="RAN4 Observation Char"/>
    <w:basedOn w:val="35"/>
    <w:link w:val="32"/>
    <w:qFormat/>
    <w:uiPriority w:val="0"/>
    <w:rPr>
      <w:rFonts w:ascii="Times New Roman" w:hAnsi="Times New Roman" w:eastAsia="Calibri" w:cs="Times New Roman"/>
      <w:sz w:val="20"/>
      <w:szCs w:val="20"/>
      <w:lang w:val="en-GB"/>
    </w:rPr>
  </w:style>
  <w:style w:type="character" w:customStyle="1" w:styleId="37">
    <w:name w:val="RAN4 Proposal Char"/>
    <w:basedOn w:val="35"/>
    <w:link w:val="34"/>
    <w:qFormat/>
    <w:uiPriority w:val="0"/>
    <w:rPr>
      <w:rFonts w:ascii="Times New Roman" w:hAnsi="Times New Roman" w:eastAsia="Calibri" w:cs="Times New Roman"/>
      <w:b/>
      <w:sz w:val="20"/>
      <w:szCs w:val="20"/>
      <w:lang w:val="en-GB"/>
    </w:rPr>
  </w:style>
  <w:style w:type="paragraph" w:customStyle="1" w:styleId="38">
    <w:name w:val="RAN4 proposal"/>
    <w:basedOn w:val="9"/>
    <w:next w:val="1"/>
    <w:link w:val="41"/>
    <w:qFormat/>
    <w:uiPriority w:val="0"/>
    <w:pPr>
      <w:numPr>
        <w:ilvl w:val="0"/>
        <w:numId w:val="3"/>
      </w:numPr>
      <w:ind w:left="0" w:firstLine="0"/>
      <w:jc w:val="left"/>
    </w:pPr>
    <w:rPr>
      <w:rFonts w:ascii="Times New Roman" w:hAnsi="Times New Roman"/>
      <w:b/>
      <w:i w:val="0"/>
      <w:sz w:val="22"/>
    </w:rPr>
  </w:style>
  <w:style w:type="paragraph" w:customStyle="1" w:styleId="39">
    <w:name w:val="TOC Heading"/>
    <w:basedOn w:val="2"/>
    <w:next w:val="1"/>
    <w:unhideWhenUsed/>
    <w:qFormat/>
    <w:uiPriority w:val="39"/>
    <w:pPr>
      <w:outlineLvl w:val="9"/>
    </w:pPr>
  </w:style>
  <w:style w:type="character" w:customStyle="1" w:styleId="40">
    <w:name w:val="Caption Char"/>
    <w:basedOn w:val="22"/>
    <w:link w:val="9"/>
    <w:qFormat/>
    <w:uiPriority w:val="35"/>
    <w:rPr>
      <w:rFonts w:ascii="Arial" w:hAnsi="Arial"/>
      <w:i/>
      <w:iCs/>
      <w:sz w:val="18"/>
      <w:szCs w:val="18"/>
    </w:rPr>
  </w:style>
  <w:style w:type="character" w:customStyle="1" w:styleId="41">
    <w:name w:val="RAN4 proposal Char"/>
    <w:basedOn w:val="40"/>
    <w:link w:val="38"/>
    <w:qFormat/>
    <w:uiPriority w:val="0"/>
    <w:rPr>
      <w:rFonts w:ascii="Times New Roman" w:hAnsi="Times New Roman"/>
      <w:b/>
      <w:i w:val="0"/>
      <w:sz w:val="18"/>
      <w:szCs w:val="18"/>
    </w:rPr>
  </w:style>
  <w:style w:type="paragraph" w:customStyle="1" w:styleId="42">
    <w:name w:val="RAN4 observation"/>
    <w:basedOn w:val="32"/>
    <w:next w:val="1"/>
    <w:link w:val="43"/>
    <w:qFormat/>
    <w:uiPriority w:val="0"/>
    <w:pPr>
      <w:ind w:left="0" w:firstLine="0"/>
    </w:pPr>
    <w:rPr>
      <w:sz w:val="22"/>
    </w:rPr>
  </w:style>
  <w:style w:type="character" w:customStyle="1" w:styleId="43">
    <w:name w:val="RAN4 observation Char"/>
    <w:basedOn w:val="36"/>
    <w:link w:val="42"/>
    <w:qFormat/>
    <w:uiPriority w:val="0"/>
    <w:rPr>
      <w:rFonts w:ascii="Times New Roman" w:hAnsi="Times New Roman" w:eastAsia="Calibri" w:cs="Times New Roman"/>
      <w:sz w:val="20"/>
      <w:szCs w:val="20"/>
      <w:lang w:val="en-GB"/>
    </w:rPr>
  </w:style>
  <w:style w:type="character" w:customStyle="1" w:styleId="44">
    <w:name w:val="Unresolved Mention"/>
    <w:basedOn w:val="22"/>
    <w:semiHidden/>
    <w:unhideWhenUsed/>
    <w:qFormat/>
    <w:uiPriority w:val="99"/>
    <w:rPr>
      <w:color w:val="808080"/>
      <w:shd w:val="clear" w:color="auto" w:fill="E6E6E6"/>
    </w:rPr>
  </w:style>
  <w:style w:type="character" w:customStyle="1" w:styleId="45">
    <w:name w:val="Heading 4 Char"/>
    <w:basedOn w:val="22"/>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6">
    <w:name w:val="Doc-text2 Char"/>
    <w:link w:val="47"/>
    <w:qFormat/>
    <w:locked/>
    <w:uiPriority w:val="0"/>
    <w:rPr>
      <w:rFonts w:ascii="Arial" w:hAnsi="Arial" w:eastAsia="Times New Roman" w:cs="Arial"/>
      <w:lang w:val="zh-CN" w:eastAsia="zh-CN"/>
    </w:rPr>
  </w:style>
  <w:style w:type="paragraph" w:customStyle="1" w:styleId="47">
    <w:name w:val="Doc-text2"/>
    <w:basedOn w:val="1"/>
    <w:link w:val="46"/>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8">
    <w:name w:val="Body Text Char"/>
    <w:basedOn w:val="22"/>
    <w:link w:val="11"/>
    <w:semiHidden/>
    <w:qFormat/>
    <w:uiPriority w:val="0"/>
    <w:rPr>
      <w:rFonts w:ascii="Arial" w:hAnsi="Arial"/>
      <w:lang w:val="da-DK" w:eastAsia="zh-CN"/>
    </w:rPr>
  </w:style>
  <w:style w:type="paragraph" w:customStyle="1" w:styleId="49">
    <w:name w:val="Agreement"/>
    <w:basedOn w:val="1"/>
    <w:next w:val="47"/>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50">
    <w:name w:val="TAL"/>
    <w:basedOn w:val="1"/>
    <w:link w:val="51"/>
    <w:qFormat/>
    <w:uiPriority w:val="0"/>
    <w:pPr>
      <w:keepNext/>
      <w:keepLines/>
      <w:spacing w:after="0" w:line="240" w:lineRule="auto"/>
    </w:pPr>
    <w:rPr>
      <w:rFonts w:ascii="Arial" w:hAnsi="Arial" w:eastAsia="Times New Roman" w:cs="Times New Roman"/>
      <w:sz w:val="18"/>
      <w:szCs w:val="20"/>
      <w:lang w:val="en-GB"/>
    </w:rPr>
  </w:style>
  <w:style w:type="character" w:customStyle="1" w:styleId="51">
    <w:name w:val="TAL Char"/>
    <w:link w:val="50"/>
    <w:qFormat/>
    <w:locked/>
    <w:uiPriority w:val="0"/>
    <w:rPr>
      <w:rFonts w:ascii="Arial" w:hAnsi="Arial" w:eastAsia="Times New Roman" w:cs="Times New Roman"/>
      <w:sz w:val="18"/>
      <w:szCs w:val="20"/>
      <w:lang w:val="en-GB"/>
    </w:rPr>
  </w:style>
  <w:style w:type="paragraph" w:customStyle="1" w:styleId="52">
    <w:name w:val="B2"/>
    <w:basedOn w:val="7"/>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3">
    <w:name w:val="EmailDiscussion"/>
    <w:basedOn w:val="1"/>
    <w:next w:val="1"/>
    <w:link w:val="54"/>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4">
    <w:name w:val="EmailDiscussion Char"/>
    <w:link w:val="53"/>
    <w:qFormat/>
    <w:uiPriority w:val="0"/>
    <w:rPr>
      <w:rFonts w:ascii="Arial" w:hAnsi="Arial" w:eastAsia="MS Mincho" w:cs="Times New Roman"/>
      <w:b/>
      <w:sz w:val="20"/>
      <w:szCs w:val="24"/>
      <w:lang w:val="en-GB" w:eastAsia="en-GB"/>
    </w:rPr>
  </w:style>
  <w:style w:type="character" w:customStyle="1" w:styleId="55">
    <w:name w:val="Header Char"/>
    <w:basedOn w:val="22"/>
    <w:link w:val="13"/>
    <w:semiHidden/>
    <w:qFormat/>
    <w:locked/>
    <w:uiPriority w:val="0"/>
    <w:rPr>
      <w:rFonts w:ascii="Tms Rmn" w:hAnsi="Tms Rmn"/>
      <w:b/>
      <w:sz w:val="18"/>
    </w:rPr>
  </w:style>
  <w:style w:type="character" w:customStyle="1" w:styleId="56">
    <w:name w:val="Header Char1"/>
    <w:basedOn w:val="22"/>
    <w:semiHidden/>
    <w:qFormat/>
    <w:uiPriority w:val="99"/>
    <w:rPr>
      <w:rFonts w:ascii="Times New Roman" w:hAnsi="Times New Roman"/>
      <w:sz w:val="20"/>
    </w:rPr>
  </w:style>
  <w:style w:type="character" w:customStyle="1" w:styleId="57">
    <w:name w:val="Balloon Text Char"/>
    <w:basedOn w:val="22"/>
    <w:link w:val="12"/>
    <w:semiHidden/>
    <w:qFormat/>
    <w:uiPriority w:val="99"/>
    <w:rPr>
      <w:rFonts w:ascii="Segoe UI" w:hAnsi="Segoe UI" w:cs="Segoe UI"/>
      <w:sz w:val="18"/>
      <w:szCs w:val="18"/>
    </w:rPr>
  </w:style>
  <w:style w:type="character" w:customStyle="1" w:styleId="58">
    <w:name w:val="CR Cover Page Zchn"/>
    <w:link w:val="59"/>
    <w:qFormat/>
    <w:locked/>
    <w:uiPriority w:val="0"/>
    <w:rPr>
      <w:rFonts w:ascii="Arial" w:hAnsi="Arial" w:cs="Arial"/>
      <w:lang w:val="en-GB"/>
    </w:rPr>
  </w:style>
  <w:style w:type="paragraph" w:customStyle="1" w:styleId="59">
    <w:name w:val="CR Cover Page"/>
    <w:link w:val="58"/>
    <w:qFormat/>
    <w:uiPriority w:val="0"/>
    <w:pPr>
      <w:spacing w:after="120" w:line="240" w:lineRule="auto"/>
    </w:pPr>
    <w:rPr>
      <w:rFonts w:ascii="Arial" w:hAnsi="Arial" w:cs="Arial" w:eastAsiaTheme="minorHAnsi"/>
      <w:sz w:val="22"/>
      <w:szCs w:val="22"/>
      <w:lang w:val="en-GB" w:eastAsia="en-US" w:bidi="ar-SA"/>
    </w:rPr>
  </w:style>
  <w:style w:type="character" w:customStyle="1" w:styleId="60">
    <w:name w:val="Comment Text Char"/>
    <w:basedOn w:val="22"/>
    <w:link w:val="10"/>
    <w:semiHidden/>
    <w:qFormat/>
    <w:uiPriority w:val="99"/>
    <w:rPr>
      <w:rFonts w:ascii="Times New Roman" w:hAnsi="Times New Roman"/>
      <w:sz w:val="20"/>
      <w:szCs w:val="20"/>
    </w:rPr>
  </w:style>
  <w:style w:type="character" w:customStyle="1" w:styleId="61">
    <w:name w:val="Comment Subject Char"/>
    <w:basedOn w:val="60"/>
    <w:link w:val="19"/>
    <w:semiHidden/>
    <w:qFormat/>
    <w:uiPriority w:val="99"/>
    <w:rPr>
      <w:rFonts w:ascii="Times New Roman" w:hAnsi="Times New Roman"/>
      <w:b/>
      <w:bCs/>
      <w:sz w:val="20"/>
      <w:szCs w:val="20"/>
    </w:rPr>
  </w:style>
  <w:style w:type="paragraph" w:customStyle="1" w:styleId="62">
    <w:name w:val="3GPP Normal Text"/>
    <w:basedOn w:val="11"/>
    <w:link w:val="63"/>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3">
    <w:name w:val="3GPP Normal Text Char"/>
    <w:link w:val="62"/>
    <w:qFormat/>
    <w:uiPriority w:val="0"/>
    <w:rPr>
      <w:rFonts w:ascii="Times New Roman" w:hAnsi="Times New Roman" w:eastAsia="MS Mincho" w:cs="Arial"/>
      <w:sz w:val="20"/>
      <w:szCs w:val="24"/>
    </w:rPr>
  </w:style>
  <w:style w:type="paragraph" w:customStyle="1" w:styleId="64">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5">
    <w:name w:val="TH"/>
    <w:basedOn w:val="1"/>
    <w:qFormat/>
    <w:uiPriority w:val="0"/>
    <w:pPr>
      <w:keepNext/>
      <w:keepLines/>
      <w:spacing w:before="60"/>
      <w:jc w:val="center"/>
    </w:pPr>
    <w:rPr>
      <w:rFonts w:ascii="Arial" w:hAnsi="Arial"/>
      <w:b/>
      <w:lang w:eastAsia="zh-CN"/>
    </w:rPr>
  </w:style>
  <w:style w:type="paragraph" w:customStyle="1" w:styleId="66">
    <w:name w:val="NO"/>
    <w:basedOn w:val="1"/>
    <w:qFormat/>
    <w:uiPriority w:val="0"/>
    <w:pPr>
      <w:keepLines/>
      <w:ind w:left="1135" w:hanging="851"/>
    </w:pPr>
    <w:rPr>
      <w:lang w:eastAsia="zh-CN"/>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8">
    <w:name w:val="B1"/>
    <w:basedOn w:val="8"/>
    <w:qFormat/>
    <w:uiPriority w:val="0"/>
  </w:style>
  <w:style w:type="paragraph" w:customStyle="1" w:styleId="69">
    <w:name w:val="B3"/>
    <w:basedOn w:val="6"/>
    <w:qFormat/>
    <w:uiPriority w:val="0"/>
  </w:style>
  <w:style w:type="paragraph" w:customStyle="1" w:styleId="70">
    <w:name w:val="B4"/>
    <w:basedOn w:val="16"/>
    <w:qFormat/>
    <w:uiPriority w:val="0"/>
  </w:style>
  <w:style w:type="paragraph" w:customStyle="1" w:styleId="71">
    <w:name w:val="B5"/>
    <w:basedOn w:val="15"/>
    <w:qFormat/>
    <w:uiPriority w:val="0"/>
  </w:style>
  <w:style w:type="paragraph" w:customStyle="1" w:styleId="72">
    <w:name w:val="B6"/>
    <w:basedOn w:val="71"/>
    <w:qFormat/>
    <w:uiPriority w:val="0"/>
    <w:pPr>
      <w:ind w:left="1985"/>
    </w:pPr>
  </w:style>
  <w:style w:type="paragraph" w:customStyle="1" w:styleId="73">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emf"/><Relationship Id="rId7" Type="http://schemas.openxmlformats.org/officeDocument/2006/relationships/image" Target="media/image3.emf"/><Relationship Id="rId6" Type="http://schemas.openxmlformats.org/officeDocument/2006/relationships/oleObject" Target="embeddings/oleObject1.bin"/><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7.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5B53C8-48A5-44AD-B897-E90CB0B8E3EC}">
  <ds:schemaRefs/>
</ds:datastoreItem>
</file>

<file path=customXml/itemProps3.xml><?xml version="1.0" encoding="utf-8"?>
<ds:datastoreItem xmlns:ds="http://schemas.openxmlformats.org/officeDocument/2006/customXml" ds:itemID="{08DA32A5-C37F-4DB0-94C0-5301A1F35695}">
  <ds:schemaRefs/>
</ds:datastoreItem>
</file>

<file path=customXml/itemProps4.xml><?xml version="1.0" encoding="utf-8"?>
<ds:datastoreItem xmlns:ds="http://schemas.openxmlformats.org/officeDocument/2006/customXml" ds:itemID="{EAA4E9F1-3478-4E48-ACB7-A0EA7CF8F594}">
  <ds:schemaRefs/>
</ds:datastoreItem>
</file>

<file path=customXml/itemProps5.xml><?xml version="1.0" encoding="utf-8"?>
<ds:datastoreItem xmlns:ds="http://schemas.openxmlformats.org/officeDocument/2006/customXml" ds:itemID="{DDD117E1-8C1C-466A-8D7F-EAF64C1488C0}">
  <ds:schemaRefs/>
</ds:datastoreItem>
</file>

<file path=customXml/itemProps6.xml><?xml version="1.0" encoding="utf-8"?>
<ds:datastoreItem xmlns:ds="http://schemas.openxmlformats.org/officeDocument/2006/customXml" ds:itemID="{E8E32C24-5F96-4713-A70F-A7BA20BB6CD6}">
  <ds:schemaRefs/>
</ds:datastoreItem>
</file>

<file path=customXml/itemProps7.xml><?xml version="1.0" encoding="utf-8"?>
<ds:datastoreItem xmlns:ds="http://schemas.openxmlformats.org/officeDocument/2006/customXml" ds:itemID="{E173285D-2887-45E3-A024-3D1E71CC8E7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3</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2021-04-02T14:52:00Z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